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AF" w:rsidRPr="006B1402" w:rsidRDefault="00DC71AF" w:rsidP="00DC71AF">
      <w:pPr>
        <w:jc w:val="center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0"/>
        <w:gridCol w:w="1755"/>
        <w:gridCol w:w="5287"/>
      </w:tblGrid>
      <w:tr w:rsidR="00DC71AF" w:rsidRPr="00D25B21" w:rsidTr="00D25B21">
        <w:tc>
          <w:tcPr>
            <w:tcW w:w="2200" w:type="dxa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Title</w:t>
            </w:r>
          </w:p>
        </w:tc>
        <w:tc>
          <w:tcPr>
            <w:tcW w:w="7042" w:type="dxa"/>
            <w:gridSpan w:val="2"/>
          </w:tcPr>
          <w:p w:rsidR="00DC71AF" w:rsidRPr="00D25B21" w:rsidRDefault="00694877" w:rsidP="004E4B67">
            <w:pPr>
              <w:spacing w:before="60" w:after="6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5FC7">
              <w:rPr>
                <w:rFonts w:ascii="Verdana" w:hAnsi="Verdana"/>
                <w:b/>
                <w:sz w:val="20"/>
                <w:szCs w:val="20"/>
              </w:rPr>
              <w:t xml:space="preserve">Demonstrate skills in managing </w:t>
            </w:r>
            <w:r w:rsidR="00EE43AD">
              <w:rPr>
                <w:rFonts w:ascii="Verdana" w:hAnsi="Verdana"/>
                <w:b/>
                <w:sz w:val="20"/>
                <w:szCs w:val="20"/>
              </w:rPr>
              <w:t xml:space="preserve">safety in </w:t>
            </w:r>
            <w:r w:rsidRPr="00C25FC7">
              <w:rPr>
                <w:rFonts w:ascii="Verdana" w:hAnsi="Verdana"/>
                <w:b/>
                <w:sz w:val="20"/>
                <w:szCs w:val="20"/>
              </w:rPr>
              <w:t xml:space="preserve">bivalve purification </w:t>
            </w:r>
            <w:r w:rsidR="00EE43AD">
              <w:rPr>
                <w:rFonts w:ascii="Verdana" w:hAnsi="Verdana"/>
                <w:b/>
                <w:sz w:val="20"/>
                <w:szCs w:val="20"/>
              </w:rPr>
              <w:t>operations</w:t>
            </w:r>
          </w:p>
        </w:tc>
      </w:tr>
      <w:tr w:rsidR="00DC71AF" w:rsidRPr="00D25B21" w:rsidTr="00D25B21">
        <w:tc>
          <w:tcPr>
            <w:tcW w:w="2200" w:type="dxa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Level</w:t>
            </w:r>
          </w:p>
        </w:tc>
        <w:tc>
          <w:tcPr>
            <w:tcW w:w="7042" w:type="dxa"/>
            <w:gridSpan w:val="2"/>
          </w:tcPr>
          <w:p w:rsidR="00DC71AF" w:rsidRPr="00D25B21" w:rsidRDefault="00694877" w:rsidP="00D25B21">
            <w:pPr>
              <w:spacing w:before="60" w:after="6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DC71AF" w:rsidRPr="00D25B21" w:rsidTr="00D25B21">
        <w:tc>
          <w:tcPr>
            <w:tcW w:w="2200" w:type="dxa"/>
            <w:tcBorders>
              <w:bottom w:val="single" w:sz="4" w:space="0" w:color="auto"/>
            </w:tcBorders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Credit value</w:t>
            </w:r>
          </w:p>
        </w:tc>
        <w:tc>
          <w:tcPr>
            <w:tcW w:w="7042" w:type="dxa"/>
            <w:gridSpan w:val="2"/>
            <w:tcBorders>
              <w:bottom w:val="single" w:sz="4" w:space="0" w:color="auto"/>
            </w:tcBorders>
          </w:tcPr>
          <w:p w:rsidR="00DC71AF" w:rsidRPr="00D25B21" w:rsidRDefault="00D2477F" w:rsidP="00D25B21">
            <w:pPr>
              <w:spacing w:before="60" w:after="6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DC71AF" w:rsidRPr="00D25B21" w:rsidTr="00D25B21">
        <w:tc>
          <w:tcPr>
            <w:tcW w:w="3955" w:type="dxa"/>
            <w:gridSpan w:val="2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Learning Outcomes</w:t>
            </w:r>
          </w:p>
        </w:tc>
        <w:tc>
          <w:tcPr>
            <w:tcW w:w="5287" w:type="dxa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Assessment Criteria</w:t>
            </w:r>
          </w:p>
        </w:tc>
      </w:tr>
      <w:tr w:rsidR="00DC71AF" w:rsidRPr="00D25B21" w:rsidTr="00D25B21"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The learner will:</w:t>
            </w:r>
          </w:p>
        </w:tc>
        <w:tc>
          <w:tcPr>
            <w:tcW w:w="5287" w:type="dxa"/>
            <w:tcBorders>
              <w:bottom w:val="single" w:sz="4" w:space="0" w:color="auto"/>
            </w:tcBorders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The learner can:</w:t>
            </w:r>
          </w:p>
        </w:tc>
      </w:tr>
      <w:tr w:rsidR="00D401EF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1EF" w:rsidRPr="00D25B21" w:rsidRDefault="008B4711" w:rsidP="00D25B21">
            <w:pPr>
              <w:spacing w:after="0" w:line="240" w:lineRule="auto"/>
              <w:rPr>
                <w:rFonts w:ascii="Verdana" w:hAnsi="Verdana"/>
                <w:color w:val="000080"/>
                <w:sz w:val="20"/>
                <w:szCs w:val="20"/>
              </w:rPr>
            </w:pPr>
            <w:r w:rsidRPr="008B4711">
              <w:rPr>
                <w:rFonts w:ascii="Verdana" w:hAnsi="Verdana"/>
                <w:sz w:val="20"/>
                <w:szCs w:val="20"/>
              </w:rPr>
              <w:t xml:space="preserve">1.  </w:t>
            </w:r>
            <w:r w:rsidR="00694877" w:rsidRPr="00694877">
              <w:rPr>
                <w:rFonts w:ascii="Verdana" w:hAnsi="Verdana"/>
                <w:sz w:val="20"/>
                <w:szCs w:val="20"/>
              </w:rPr>
              <w:t xml:space="preserve">Manage food safety </w:t>
            </w:r>
            <w:r w:rsidR="007C3E3A">
              <w:rPr>
                <w:rFonts w:ascii="Verdana" w:hAnsi="Verdana"/>
                <w:sz w:val="20"/>
                <w:szCs w:val="20"/>
              </w:rPr>
              <w:t>operations in purification and despatch centres</w:t>
            </w:r>
          </w:p>
          <w:p w:rsidR="00D401EF" w:rsidRPr="00D25B21" w:rsidRDefault="00D401EF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01EF" w:rsidRPr="00D25B21" w:rsidRDefault="00D401EF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593" w:rsidRDefault="00601593" w:rsidP="00101B3B">
            <w:pPr>
              <w:numPr>
                <w:ilvl w:val="0"/>
                <w:numId w:val="1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Produce an action plan to conduct a food safety audit</w:t>
            </w:r>
          </w:p>
          <w:p w:rsidR="003F077F" w:rsidRDefault="008A22D6" w:rsidP="00101B3B">
            <w:pPr>
              <w:numPr>
                <w:ilvl w:val="0"/>
                <w:numId w:val="1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Contribute to c</w:t>
            </w:r>
            <w:r w:rsidR="00601593">
              <w:rPr>
                <w:rFonts w:ascii="Verdana" w:hAnsi="Verdana"/>
                <w:sz w:val="20"/>
                <w:szCs w:val="20"/>
              </w:rPr>
              <w:t>onduct</w:t>
            </w:r>
            <w:r>
              <w:rPr>
                <w:rFonts w:ascii="Verdana" w:hAnsi="Verdana"/>
                <w:sz w:val="20"/>
                <w:szCs w:val="20"/>
              </w:rPr>
              <w:t>ing</w:t>
            </w:r>
            <w:r w:rsidR="00917FEE">
              <w:rPr>
                <w:rFonts w:ascii="Verdana" w:hAnsi="Verdana"/>
                <w:sz w:val="20"/>
                <w:szCs w:val="20"/>
              </w:rPr>
              <w:t xml:space="preserve"> food safety audits during purification</w:t>
            </w:r>
          </w:p>
          <w:p w:rsidR="00864809" w:rsidRDefault="00864809" w:rsidP="00101B3B">
            <w:pPr>
              <w:numPr>
                <w:ilvl w:val="0"/>
                <w:numId w:val="1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Contribute to the evaluation of policies and practices</w:t>
            </w:r>
          </w:p>
          <w:p w:rsidR="00601593" w:rsidRDefault="00601593" w:rsidP="00101B3B">
            <w:pPr>
              <w:numPr>
                <w:ilvl w:val="0"/>
                <w:numId w:val="1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Make recommendations for improvement to policies and practices </w:t>
            </w:r>
            <w:r w:rsidR="007C3E3A">
              <w:rPr>
                <w:rFonts w:ascii="Verdana" w:hAnsi="Verdana"/>
                <w:sz w:val="20"/>
                <w:szCs w:val="20"/>
              </w:rPr>
              <w:t>to relevant people</w:t>
            </w:r>
          </w:p>
          <w:p w:rsidR="00601593" w:rsidRPr="003F077F" w:rsidRDefault="00601593" w:rsidP="00101B3B">
            <w:pPr>
              <w:numPr>
                <w:ilvl w:val="0"/>
                <w:numId w:val="1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Complete documentation and records for food safety and HACCP.</w:t>
            </w:r>
          </w:p>
        </w:tc>
      </w:tr>
      <w:tr w:rsidR="00D401EF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1EF" w:rsidRPr="00D25B21" w:rsidRDefault="00051795" w:rsidP="00917FE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51795">
              <w:rPr>
                <w:rFonts w:ascii="Verdana" w:hAnsi="Verdana"/>
                <w:sz w:val="20"/>
                <w:szCs w:val="20"/>
              </w:rPr>
              <w:t xml:space="preserve">2.  </w:t>
            </w:r>
            <w:r w:rsidR="00694877" w:rsidRPr="00694877">
              <w:rPr>
                <w:rFonts w:ascii="Verdana" w:hAnsi="Verdana"/>
                <w:sz w:val="20"/>
                <w:szCs w:val="20"/>
              </w:rPr>
              <w:t xml:space="preserve">Manage health and safety </w:t>
            </w:r>
            <w:r w:rsidR="007C3E3A">
              <w:rPr>
                <w:rFonts w:ascii="Verdana" w:hAnsi="Verdana"/>
                <w:sz w:val="20"/>
                <w:szCs w:val="20"/>
              </w:rPr>
              <w:t>operations in purification and despatch centres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809" w:rsidRDefault="00925653" w:rsidP="00101B3B">
            <w:pPr>
              <w:numPr>
                <w:ilvl w:val="0"/>
                <w:numId w:val="2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Produce an action plan to conduct a health and safety audit</w:t>
            </w:r>
          </w:p>
          <w:p w:rsidR="00864809" w:rsidRDefault="008A22D6" w:rsidP="00101B3B">
            <w:pPr>
              <w:numPr>
                <w:ilvl w:val="0"/>
                <w:numId w:val="2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864809">
              <w:rPr>
                <w:rFonts w:ascii="Verdana" w:hAnsi="Verdana"/>
                <w:sz w:val="20"/>
                <w:szCs w:val="20"/>
              </w:rPr>
              <w:t xml:space="preserve">Contribute to conducting health and safety audits during </w:t>
            </w:r>
            <w:r w:rsidR="00917FEE" w:rsidRPr="00864809">
              <w:rPr>
                <w:rFonts w:ascii="Verdana" w:hAnsi="Verdana"/>
                <w:sz w:val="20"/>
                <w:szCs w:val="20"/>
              </w:rPr>
              <w:t>purification</w:t>
            </w:r>
            <w:r w:rsidR="00864809" w:rsidRPr="0086480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A22D6" w:rsidRPr="00864809" w:rsidRDefault="00864809" w:rsidP="00101B3B">
            <w:pPr>
              <w:numPr>
                <w:ilvl w:val="0"/>
                <w:numId w:val="2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864809">
              <w:rPr>
                <w:rFonts w:ascii="Verdana" w:hAnsi="Verdana"/>
                <w:sz w:val="20"/>
                <w:szCs w:val="20"/>
              </w:rPr>
              <w:t>Contribute to the evaluation of policies and practices</w:t>
            </w:r>
          </w:p>
          <w:p w:rsidR="00694877" w:rsidRPr="00694877" w:rsidRDefault="00694877" w:rsidP="00101B3B">
            <w:pPr>
              <w:numPr>
                <w:ilvl w:val="0"/>
                <w:numId w:val="2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694877">
              <w:rPr>
                <w:rFonts w:ascii="Verdana" w:hAnsi="Verdana"/>
                <w:sz w:val="20"/>
                <w:szCs w:val="20"/>
              </w:rPr>
              <w:t>Make recommendations for improvements to policies and practices</w:t>
            </w:r>
            <w:r w:rsidR="007C3E3A">
              <w:rPr>
                <w:rFonts w:ascii="Verdana" w:hAnsi="Verdana"/>
                <w:sz w:val="20"/>
                <w:szCs w:val="20"/>
              </w:rPr>
              <w:t xml:space="preserve"> to relevant people</w:t>
            </w:r>
          </w:p>
          <w:p w:rsidR="003F077F" w:rsidRPr="003F077F" w:rsidRDefault="00925653" w:rsidP="00101B3B">
            <w:pPr>
              <w:numPr>
                <w:ilvl w:val="0"/>
                <w:numId w:val="2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Complete documentation and</w:t>
            </w:r>
            <w:r w:rsidR="00694877" w:rsidRPr="00694877">
              <w:rPr>
                <w:rFonts w:ascii="Verdana" w:hAnsi="Verdana"/>
                <w:sz w:val="20"/>
                <w:szCs w:val="20"/>
              </w:rPr>
              <w:t xml:space="preserve"> record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694877" w:rsidRPr="0069487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17FEE">
              <w:rPr>
                <w:rFonts w:ascii="Verdana" w:hAnsi="Verdana"/>
                <w:sz w:val="20"/>
                <w:szCs w:val="20"/>
              </w:rPr>
              <w:t>for health</w:t>
            </w:r>
            <w:r w:rsidR="008A22D6">
              <w:rPr>
                <w:rFonts w:ascii="Verdana" w:hAnsi="Verdana"/>
                <w:sz w:val="20"/>
                <w:szCs w:val="20"/>
              </w:rPr>
              <w:t xml:space="preserve"> and safety.</w:t>
            </w:r>
          </w:p>
        </w:tc>
      </w:tr>
      <w:tr w:rsidR="00D42AD4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AD4" w:rsidRDefault="003F077F" w:rsidP="008648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857B4">
              <w:rPr>
                <w:rFonts w:ascii="Verdana" w:hAnsi="Verdana"/>
                <w:sz w:val="20"/>
                <w:szCs w:val="20"/>
              </w:rPr>
              <w:t>3</w:t>
            </w:r>
            <w:r w:rsidR="00051795" w:rsidRPr="003857B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3857B4" w:rsidRPr="003857B4">
              <w:rPr>
                <w:rFonts w:ascii="Verdana" w:hAnsi="Verdana"/>
                <w:sz w:val="20"/>
                <w:szCs w:val="20"/>
              </w:rPr>
              <w:t xml:space="preserve">Manage </w:t>
            </w:r>
            <w:r w:rsidR="005A1805">
              <w:rPr>
                <w:rFonts w:ascii="Verdana" w:hAnsi="Verdana"/>
                <w:sz w:val="20"/>
                <w:szCs w:val="20"/>
              </w:rPr>
              <w:t xml:space="preserve">risks and </w:t>
            </w:r>
            <w:r w:rsidR="00864809">
              <w:rPr>
                <w:rFonts w:ascii="Verdana" w:hAnsi="Verdana"/>
                <w:sz w:val="20"/>
                <w:szCs w:val="20"/>
              </w:rPr>
              <w:t>contingencies</w:t>
            </w:r>
          </w:p>
          <w:p w:rsidR="007C3E3A" w:rsidRPr="003857B4" w:rsidRDefault="007C3E3A" w:rsidP="0086480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purification and despatch centres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805" w:rsidRDefault="003857B4" w:rsidP="00101B3B">
            <w:pPr>
              <w:numPr>
                <w:ilvl w:val="0"/>
                <w:numId w:val="7"/>
              </w:numPr>
              <w:tabs>
                <w:tab w:val="num" w:pos="0"/>
              </w:tabs>
              <w:spacing w:afterLines="120" w:line="240" w:lineRule="auto"/>
              <w:ind w:left="440" w:hanging="426"/>
              <w:rPr>
                <w:rFonts w:ascii="Verdana" w:hAnsi="Verdana"/>
                <w:sz w:val="20"/>
                <w:szCs w:val="20"/>
              </w:rPr>
            </w:pPr>
            <w:r w:rsidRPr="003857B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1805">
              <w:rPr>
                <w:rFonts w:ascii="Verdana" w:hAnsi="Verdana"/>
                <w:sz w:val="20"/>
                <w:szCs w:val="20"/>
              </w:rPr>
              <w:t>Develop an action plan for identifying and evaluating potential risks</w:t>
            </w:r>
            <w:r w:rsidR="005A1805" w:rsidRPr="003857B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1805">
              <w:rPr>
                <w:rFonts w:ascii="Verdana" w:hAnsi="Verdana"/>
                <w:sz w:val="20"/>
                <w:szCs w:val="20"/>
              </w:rPr>
              <w:t>to operations</w:t>
            </w:r>
          </w:p>
          <w:p w:rsidR="00A42E47" w:rsidRDefault="003857B4" w:rsidP="00101B3B">
            <w:pPr>
              <w:numPr>
                <w:ilvl w:val="0"/>
                <w:numId w:val="7"/>
              </w:numPr>
              <w:tabs>
                <w:tab w:val="num" w:pos="0"/>
              </w:tabs>
              <w:spacing w:afterLines="120" w:line="240" w:lineRule="auto"/>
              <w:ind w:left="440" w:hanging="426"/>
              <w:rPr>
                <w:rFonts w:ascii="Verdana" w:hAnsi="Verdana"/>
                <w:sz w:val="20"/>
                <w:szCs w:val="20"/>
              </w:rPr>
            </w:pPr>
            <w:r w:rsidRPr="003857B4">
              <w:rPr>
                <w:rFonts w:ascii="Verdana" w:hAnsi="Verdana"/>
                <w:sz w:val="20"/>
                <w:szCs w:val="20"/>
              </w:rPr>
              <w:t xml:space="preserve">Contribute to contingency planning within a </w:t>
            </w:r>
            <w:r w:rsidR="005A1805">
              <w:rPr>
                <w:rFonts w:ascii="Verdana" w:hAnsi="Verdana"/>
                <w:sz w:val="20"/>
                <w:szCs w:val="20"/>
              </w:rPr>
              <w:t>operations</w:t>
            </w:r>
          </w:p>
          <w:p w:rsidR="003857B4" w:rsidRPr="005A1805" w:rsidRDefault="00917FEE" w:rsidP="00101B3B">
            <w:pPr>
              <w:numPr>
                <w:ilvl w:val="0"/>
                <w:numId w:val="7"/>
              </w:numPr>
              <w:tabs>
                <w:tab w:val="num" w:pos="0"/>
              </w:tabs>
              <w:spacing w:afterLines="120" w:line="240" w:lineRule="auto"/>
              <w:ind w:left="440" w:hanging="42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Produce recommendations for improvements to contingency plans</w:t>
            </w:r>
            <w:r w:rsidR="0081750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B4711" w:rsidRPr="00D25B21" w:rsidTr="00D25B21">
        <w:tc>
          <w:tcPr>
            <w:tcW w:w="9242" w:type="dxa"/>
            <w:gridSpan w:val="3"/>
            <w:shd w:val="clear" w:color="auto" w:fill="E6E6E6"/>
          </w:tcPr>
          <w:p w:rsidR="008B4711" w:rsidRPr="00D25B21" w:rsidRDefault="008B4711" w:rsidP="00D25B21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Additional information about the unit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purpose and aim(s)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5284C" w:rsidRDefault="008B4711" w:rsidP="00D528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lastRenderedPageBreak/>
              <w:t xml:space="preserve">This unit supports vocational development for those who need to demonstrate skills and </w:t>
            </w:r>
            <w:r w:rsidRPr="00D5284C">
              <w:rPr>
                <w:rFonts w:ascii="Verdana" w:hAnsi="Verdana"/>
                <w:sz w:val="20"/>
                <w:szCs w:val="20"/>
              </w:rPr>
              <w:lastRenderedPageBreak/>
              <w:t xml:space="preserve">knowledge in </w:t>
            </w:r>
            <w:r w:rsidR="00694877">
              <w:rPr>
                <w:rFonts w:ascii="Verdana" w:hAnsi="Verdana"/>
                <w:sz w:val="20"/>
                <w:szCs w:val="20"/>
              </w:rPr>
              <w:t>managing</w:t>
            </w:r>
            <w:r w:rsidR="00E12F4B">
              <w:rPr>
                <w:rFonts w:ascii="Verdana" w:hAnsi="Verdana"/>
                <w:sz w:val="20"/>
                <w:szCs w:val="20"/>
              </w:rPr>
              <w:t xml:space="preserve"> bivalve purification</w:t>
            </w:r>
            <w:r w:rsidR="00694877">
              <w:rPr>
                <w:rFonts w:ascii="Verdana" w:hAnsi="Verdana"/>
                <w:sz w:val="20"/>
                <w:szCs w:val="20"/>
              </w:rPr>
              <w:t xml:space="preserve"> safety</w:t>
            </w:r>
            <w:r w:rsidRPr="00D5284C">
              <w:rPr>
                <w:rFonts w:ascii="Verdana" w:hAnsi="Verdana"/>
                <w:sz w:val="20"/>
                <w:szCs w:val="20"/>
              </w:rPr>
              <w:t xml:space="preserve"> in a learning environment.</w:t>
            </w:r>
          </w:p>
          <w:p w:rsidR="008B4711" w:rsidRPr="00D5284C" w:rsidRDefault="008B4711" w:rsidP="00D528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5284C" w:rsidRDefault="008B4711" w:rsidP="00D528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 xml:space="preserve">The unit is designed for use primarily by those who plan to enter the food and drink industry, in a </w:t>
            </w:r>
            <w:r>
              <w:rPr>
                <w:rFonts w:ascii="Verdana" w:hAnsi="Verdana"/>
                <w:sz w:val="20"/>
                <w:szCs w:val="20"/>
              </w:rPr>
              <w:t>fish and shellfish processing</w:t>
            </w:r>
            <w:r w:rsidRPr="00D5284C">
              <w:rPr>
                <w:rFonts w:ascii="Verdana" w:hAnsi="Verdana"/>
                <w:sz w:val="20"/>
                <w:szCs w:val="20"/>
              </w:rPr>
              <w:t xml:space="preserve"> role. It is designed to assess skills and knowledge demonstrated in a learning environment and it does not confirm competence in the workplace. 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lastRenderedPageBreak/>
              <w:t>Unit expiry date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Details of the relationship between the unit and relevant national occupational standards or other professional standards or curricula (if appropriate)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5284C" w:rsidRDefault="008B4711" w:rsidP="00EA3C88">
            <w:pPr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 xml:space="preserve">This unit of assessment relates directly to Improve Sector Performance Standards (approved as National Occupational Standard) units </w:t>
            </w:r>
            <w:r w:rsidR="00F140B7">
              <w:rPr>
                <w:rFonts w:ascii="Verdana" w:hAnsi="Verdana"/>
                <w:sz w:val="20"/>
                <w:szCs w:val="20"/>
              </w:rPr>
              <w:t>FT.142S</w:t>
            </w:r>
            <w:r w:rsidR="00F140B7" w:rsidRPr="00D5284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40B7">
              <w:rPr>
                <w:rFonts w:ascii="Verdana" w:hAnsi="Verdana"/>
                <w:sz w:val="20"/>
                <w:szCs w:val="20"/>
              </w:rPr>
              <w:t>Control shellfish depuration production and FT.143K Understand how to control shellfish depuration production</w:t>
            </w:r>
            <w:r w:rsidR="00F140B7" w:rsidRPr="00D5284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Assessment requirements or guidance specified by a sector or regulatory body (if appropriate)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Default="008B4711" w:rsidP="003F077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>This unit is designed to assess the skills and understanding of learners when</w:t>
            </w:r>
            <w:r w:rsidR="00DF64FE">
              <w:rPr>
                <w:rFonts w:ascii="Verdana" w:hAnsi="Verdana"/>
                <w:sz w:val="20"/>
                <w:szCs w:val="20"/>
              </w:rPr>
              <w:t xml:space="preserve"> demonstrating skills in</w:t>
            </w:r>
            <w:r w:rsidRPr="00D5284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4877">
              <w:rPr>
                <w:rFonts w:ascii="Verdana" w:hAnsi="Verdana"/>
                <w:sz w:val="20"/>
                <w:szCs w:val="20"/>
              </w:rPr>
              <w:t>managing bivalve purification safety</w:t>
            </w:r>
            <w:r w:rsidRPr="00D5284C">
              <w:rPr>
                <w:rFonts w:ascii="Verdana" w:hAnsi="Verdana"/>
                <w:sz w:val="20"/>
                <w:szCs w:val="20"/>
              </w:rPr>
              <w:t>. It can be assessed off the job in the learning environment.</w:t>
            </w:r>
          </w:p>
          <w:p w:rsidR="008B4711" w:rsidRPr="00D5284C" w:rsidRDefault="008B4711" w:rsidP="003F077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>The learner must demonstrate their skills, knowledge and understanding, to meet</w:t>
            </w:r>
            <w:r w:rsidRPr="003F077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284C">
              <w:rPr>
                <w:rFonts w:ascii="Verdana" w:hAnsi="Verdana"/>
                <w:sz w:val="20"/>
                <w:szCs w:val="20"/>
              </w:rPr>
              <w:t>all assessment criteria. Assessment methods appropriate to the needs of the learner must be used to generate satisfactory evidence of knowledge and understanding.</w:t>
            </w:r>
          </w:p>
          <w:p w:rsidR="008B4711" w:rsidRPr="003F077F" w:rsidRDefault="008B4711" w:rsidP="003F077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>The Improve Assessment Strategy sets out the overarching assessment requirements.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Support for the unit from a SSC or appropriate other body (if required)</w:t>
            </w:r>
          </w:p>
        </w:tc>
        <w:tc>
          <w:tcPr>
            <w:tcW w:w="5287" w:type="dxa"/>
          </w:tcPr>
          <w:p w:rsidR="008B4711" w:rsidRPr="00D25B21" w:rsidRDefault="008774B8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1398270" cy="633730"/>
                  <wp:effectExtent l="19050" t="0" r="0" b="0"/>
                  <wp:docPr id="2" name="Picture 1" descr="The National Skills Academy for Food and Drin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ational Skills Academy for Food and Dr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Location of the unit within the subject/sector classification system</w:t>
            </w: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04 Engineering and Manufacturing Technologies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Name of the organisation submitting the unit</w:t>
            </w: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Improve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Availability for use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Shared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available from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guided learning hours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553A8C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Category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E84F7F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Vocational Skill (V</w:t>
            </w:r>
            <w:r w:rsidR="008B4711">
              <w:rPr>
                <w:rFonts w:ascii="Verdana" w:hAnsi="Verdana"/>
                <w:sz w:val="20"/>
                <w:szCs w:val="20"/>
              </w:rPr>
              <w:t>S)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SPS Reference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FP</w:t>
            </w:r>
            <w:r w:rsidR="008774B8">
              <w:rPr>
                <w:rFonts w:ascii="Verdana" w:hAnsi="Verdana"/>
                <w:sz w:val="20"/>
                <w:szCs w:val="20"/>
              </w:rPr>
              <w:t>.142S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WBA Reference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A5C64" w:rsidRPr="00AA5C64" w:rsidRDefault="00AA5C64" w:rsidP="00AA5C64">
            <w:pPr>
              <w:shd w:val="clear" w:color="auto" w:fill="FFFFFF"/>
              <w:spacing w:after="0" w:line="264" w:lineRule="atLeast"/>
              <w:rPr>
                <w:rFonts w:ascii="Verdana" w:hAnsi="Verdana"/>
                <w:sz w:val="19"/>
                <w:szCs w:val="19"/>
              </w:rPr>
            </w:pPr>
            <w:r w:rsidRPr="00AA5C64">
              <w:rPr>
                <w:rFonts w:ascii="Verdana" w:hAnsi="Verdana"/>
                <w:sz w:val="19"/>
                <w:szCs w:val="19"/>
              </w:rPr>
              <w:t>R/503/3104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2246" w:rsidRPr="00DC71AF" w:rsidRDefault="00FB2246">
      <w:pPr>
        <w:rPr>
          <w:rFonts w:ascii="Verdana" w:hAnsi="Verdana"/>
          <w:b/>
          <w:bCs/>
          <w:color w:val="365F91"/>
          <w:sz w:val="28"/>
          <w:szCs w:val="28"/>
        </w:rPr>
      </w:pPr>
      <w:bookmarkStart w:id="0" w:name="_Appendix_5_–_1"/>
      <w:bookmarkStart w:id="1" w:name="_Appendix_7_–"/>
      <w:bookmarkEnd w:id="0"/>
      <w:bookmarkEnd w:id="1"/>
    </w:p>
    <w:sectPr w:rsidR="00FB2246" w:rsidRPr="00DC71AF" w:rsidSect="00FB224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84" w:rsidRDefault="00990784" w:rsidP="00DC71AF">
      <w:pPr>
        <w:spacing w:after="0" w:line="240" w:lineRule="auto"/>
      </w:pPr>
      <w:r>
        <w:separator/>
      </w:r>
    </w:p>
  </w:endnote>
  <w:endnote w:type="continuationSeparator" w:id="0">
    <w:p w:rsidR="00990784" w:rsidRDefault="00990784" w:rsidP="00DC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10" w:rsidRPr="00D25B21" w:rsidRDefault="00486A10" w:rsidP="00D25B21">
    <w:pPr>
      <w:pStyle w:val="Footer"/>
      <w:rPr>
        <w:rFonts w:ascii="Verdana" w:hAnsi="Verdana"/>
        <w:sz w:val="16"/>
        <w:szCs w:val="16"/>
      </w:rPr>
    </w:pPr>
    <w:r w:rsidRPr="00D25B21">
      <w:rPr>
        <w:rFonts w:ascii="Verdana" w:hAnsi="Verdana"/>
        <w:sz w:val="16"/>
        <w:szCs w:val="16"/>
      </w:rPr>
      <w:t>Unit of Assessment in Fish and Shellfish</w:t>
    </w:r>
  </w:p>
  <w:p w:rsidR="00486A10" w:rsidRPr="00D25B21" w:rsidRDefault="00486A10" w:rsidP="00D25B21">
    <w:pPr>
      <w:pStyle w:val="Footer"/>
      <w:rPr>
        <w:rFonts w:ascii="Verdana" w:hAnsi="Verdana"/>
        <w:sz w:val="16"/>
        <w:szCs w:val="16"/>
      </w:rPr>
    </w:pPr>
    <w:r w:rsidRPr="00D25B21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 xml:space="preserve">Improve </w:t>
    </w:r>
    <w:r w:rsidR="00817502">
      <w:rPr>
        <w:rFonts w:ascii="Verdana" w:hAnsi="Verdana"/>
        <w:sz w:val="16"/>
        <w:szCs w:val="16"/>
      </w:rPr>
      <w:t>May</w:t>
    </w:r>
    <w:r w:rsidRPr="00D25B21">
      <w:rPr>
        <w:rFonts w:ascii="Verdana" w:hAnsi="Verdana"/>
        <w:sz w:val="16"/>
        <w:szCs w:val="16"/>
      </w:rPr>
      <w:t xml:space="preserve"> 2011</w:t>
    </w:r>
  </w:p>
  <w:p w:rsidR="00486A10" w:rsidRDefault="00486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84" w:rsidRDefault="00990784" w:rsidP="00DC71AF">
      <w:pPr>
        <w:spacing w:after="0" w:line="240" w:lineRule="auto"/>
      </w:pPr>
      <w:r>
        <w:separator/>
      </w:r>
    </w:p>
  </w:footnote>
  <w:footnote w:type="continuationSeparator" w:id="0">
    <w:p w:rsidR="00990784" w:rsidRDefault="00990784" w:rsidP="00DC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10" w:rsidRDefault="008774B8" w:rsidP="00D401EF">
    <w:pPr>
      <w:pStyle w:val="Header"/>
      <w:jc w:val="right"/>
    </w:pPr>
    <w:r>
      <w:rPr>
        <w:noProof/>
        <w:sz w:val="20"/>
        <w:szCs w:val="20"/>
      </w:rPr>
      <w:drawing>
        <wp:inline distT="0" distB="0" distL="0" distR="0">
          <wp:extent cx="1398270" cy="633730"/>
          <wp:effectExtent l="19050" t="0" r="0" b="0"/>
          <wp:docPr id="1" name="Picture 1" descr="The National Skills Academy for Food and Dri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National Skills Academy for Food and Drin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A97"/>
    <w:multiLevelType w:val="hybridMultilevel"/>
    <w:tmpl w:val="C8A28072"/>
    <w:lvl w:ilvl="0" w:tplc="E2C2A7D6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325BB"/>
    <w:multiLevelType w:val="hybridMultilevel"/>
    <w:tmpl w:val="735E787C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D65FA"/>
    <w:multiLevelType w:val="hybridMultilevel"/>
    <w:tmpl w:val="FDB81C52"/>
    <w:lvl w:ilvl="0" w:tplc="FBEC512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FA0247"/>
    <w:multiLevelType w:val="hybridMultilevel"/>
    <w:tmpl w:val="00669396"/>
    <w:lvl w:ilvl="0" w:tplc="E2C2A7D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261C"/>
    <w:multiLevelType w:val="hybridMultilevel"/>
    <w:tmpl w:val="E148310E"/>
    <w:lvl w:ilvl="0" w:tplc="58D2F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45E"/>
    <w:multiLevelType w:val="hybridMultilevel"/>
    <w:tmpl w:val="F96AECFE"/>
    <w:lvl w:ilvl="0" w:tplc="EF02E37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3BB2817"/>
    <w:multiLevelType w:val="hybridMultilevel"/>
    <w:tmpl w:val="4A088118"/>
    <w:lvl w:ilvl="0" w:tplc="3000BD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F2B0B"/>
    <w:multiLevelType w:val="hybridMultilevel"/>
    <w:tmpl w:val="00669396"/>
    <w:lvl w:ilvl="0" w:tplc="E2C2A7D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D3427"/>
    <w:multiLevelType w:val="multilevel"/>
    <w:tmpl w:val="E9005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9">
    <w:nsid w:val="1E5F56C9"/>
    <w:multiLevelType w:val="multilevel"/>
    <w:tmpl w:val="39980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4CD0CD3"/>
    <w:multiLevelType w:val="hybridMultilevel"/>
    <w:tmpl w:val="00669396"/>
    <w:lvl w:ilvl="0" w:tplc="E2C2A7D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32810"/>
    <w:multiLevelType w:val="hybridMultilevel"/>
    <w:tmpl w:val="58261F24"/>
    <w:lvl w:ilvl="0" w:tplc="E2C2A7D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B531B"/>
    <w:multiLevelType w:val="multilevel"/>
    <w:tmpl w:val="02EA20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A877AED"/>
    <w:multiLevelType w:val="hybridMultilevel"/>
    <w:tmpl w:val="72E084DE"/>
    <w:lvl w:ilvl="0" w:tplc="7BDC470A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F3776"/>
    <w:multiLevelType w:val="hybridMultilevel"/>
    <w:tmpl w:val="C8A049C8"/>
    <w:lvl w:ilvl="0" w:tplc="FBEC512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607A0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6416CA"/>
    <w:multiLevelType w:val="hybridMultilevel"/>
    <w:tmpl w:val="DCE83A6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>
    <w:nsid w:val="43C6407A"/>
    <w:multiLevelType w:val="hybridMultilevel"/>
    <w:tmpl w:val="21923CB2"/>
    <w:lvl w:ilvl="0" w:tplc="FBEC5128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C73B95"/>
    <w:multiLevelType w:val="hybridMultilevel"/>
    <w:tmpl w:val="FE548EC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F36FD"/>
    <w:multiLevelType w:val="hybridMultilevel"/>
    <w:tmpl w:val="A7BEA13C"/>
    <w:lvl w:ilvl="0" w:tplc="8BC223E2">
      <w:start w:val="1"/>
      <w:numFmt w:val="decimal"/>
      <w:lvlText w:val="3.%1"/>
      <w:lvlJc w:val="left"/>
      <w:pPr>
        <w:ind w:left="7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>
    <w:nsid w:val="46445150"/>
    <w:multiLevelType w:val="hybridMultilevel"/>
    <w:tmpl w:val="62A82EAC"/>
    <w:lvl w:ilvl="0" w:tplc="28C807D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B5847"/>
    <w:multiLevelType w:val="hybridMultilevel"/>
    <w:tmpl w:val="AB16E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03235"/>
    <w:multiLevelType w:val="hybridMultilevel"/>
    <w:tmpl w:val="FF0E50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5A556E"/>
    <w:multiLevelType w:val="hybridMultilevel"/>
    <w:tmpl w:val="4EC2BD42"/>
    <w:lvl w:ilvl="0" w:tplc="E2C2A7D6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92B7B"/>
    <w:multiLevelType w:val="hybridMultilevel"/>
    <w:tmpl w:val="9DB23F3C"/>
    <w:lvl w:ilvl="0" w:tplc="AA748E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A1146"/>
    <w:multiLevelType w:val="hybridMultilevel"/>
    <w:tmpl w:val="85F6ABD0"/>
    <w:lvl w:ilvl="0" w:tplc="AA748EC8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796734"/>
    <w:multiLevelType w:val="multilevel"/>
    <w:tmpl w:val="696A8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02D77FA"/>
    <w:multiLevelType w:val="hybridMultilevel"/>
    <w:tmpl w:val="EA26788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69506979"/>
    <w:multiLevelType w:val="multilevel"/>
    <w:tmpl w:val="696A8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E1D2807"/>
    <w:multiLevelType w:val="hybridMultilevel"/>
    <w:tmpl w:val="F96AECFE"/>
    <w:lvl w:ilvl="0" w:tplc="EF02E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9521059"/>
    <w:multiLevelType w:val="hybridMultilevel"/>
    <w:tmpl w:val="BB621224"/>
    <w:lvl w:ilvl="0" w:tplc="3000BD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3637C"/>
    <w:multiLevelType w:val="multilevel"/>
    <w:tmpl w:val="696A8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0"/>
  </w:num>
  <w:num w:numId="5">
    <w:abstractNumId w:val="30"/>
  </w:num>
  <w:num w:numId="6">
    <w:abstractNumId w:val="20"/>
  </w:num>
  <w:num w:numId="7">
    <w:abstractNumId w:val="7"/>
  </w:num>
  <w:num w:numId="8">
    <w:abstractNumId w:val="6"/>
  </w:num>
  <w:num w:numId="9">
    <w:abstractNumId w:val="21"/>
  </w:num>
  <w:num w:numId="10">
    <w:abstractNumId w:val="1"/>
  </w:num>
  <w:num w:numId="11">
    <w:abstractNumId w:val="27"/>
  </w:num>
  <w:num w:numId="12">
    <w:abstractNumId w:val="2"/>
  </w:num>
  <w:num w:numId="13">
    <w:abstractNumId w:val="23"/>
  </w:num>
  <w:num w:numId="14">
    <w:abstractNumId w:val="18"/>
  </w:num>
  <w:num w:numId="15">
    <w:abstractNumId w:val="13"/>
  </w:num>
  <w:num w:numId="16">
    <w:abstractNumId w:val="4"/>
  </w:num>
  <w:num w:numId="17">
    <w:abstractNumId w:val="24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6"/>
  </w:num>
  <w:num w:numId="23">
    <w:abstractNumId w:val="10"/>
  </w:num>
  <w:num w:numId="24">
    <w:abstractNumId w:val="12"/>
  </w:num>
  <w:num w:numId="25">
    <w:abstractNumId w:val="3"/>
  </w:num>
  <w:num w:numId="26">
    <w:abstractNumId w:val="8"/>
  </w:num>
  <w:num w:numId="27">
    <w:abstractNumId w:val="28"/>
  </w:num>
  <w:num w:numId="28">
    <w:abstractNumId w:val="31"/>
  </w:num>
  <w:num w:numId="29">
    <w:abstractNumId w:val="9"/>
  </w:num>
  <w:num w:numId="30">
    <w:abstractNumId w:val="26"/>
  </w:num>
  <w:num w:numId="31">
    <w:abstractNumId w:val="29"/>
  </w:num>
  <w:num w:numId="32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AF"/>
    <w:rsid w:val="00012138"/>
    <w:rsid w:val="00051795"/>
    <w:rsid w:val="00072247"/>
    <w:rsid w:val="00093F75"/>
    <w:rsid w:val="00101B3B"/>
    <w:rsid w:val="00125288"/>
    <w:rsid w:val="001A6451"/>
    <w:rsid w:val="001C441B"/>
    <w:rsid w:val="002678AB"/>
    <w:rsid w:val="003016BD"/>
    <w:rsid w:val="00312123"/>
    <w:rsid w:val="00313255"/>
    <w:rsid w:val="003227C6"/>
    <w:rsid w:val="003567F8"/>
    <w:rsid w:val="003857B4"/>
    <w:rsid w:val="003D0B52"/>
    <w:rsid w:val="003D4F15"/>
    <w:rsid w:val="003F077F"/>
    <w:rsid w:val="00412245"/>
    <w:rsid w:val="004401DC"/>
    <w:rsid w:val="0045716C"/>
    <w:rsid w:val="00461AC6"/>
    <w:rsid w:val="004669CE"/>
    <w:rsid w:val="00486A10"/>
    <w:rsid w:val="00494616"/>
    <w:rsid w:val="004E4B67"/>
    <w:rsid w:val="00553A8C"/>
    <w:rsid w:val="00561E9F"/>
    <w:rsid w:val="005A1805"/>
    <w:rsid w:val="005C75A3"/>
    <w:rsid w:val="005D41E8"/>
    <w:rsid w:val="00601593"/>
    <w:rsid w:val="00663AE5"/>
    <w:rsid w:val="00694877"/>
    <w:rsid w:val="006B1313"/>
    <w:rsid w:val="006F612D"/>
    <w:rsid w:val="007507CD"/>
    <w:rsid w:val="0075456D"/>
    <w:rsid w:val="0075677E"/>
    <w:rsid w:val="00757D7A"/>
    <w:rsid w:val="007B3591"/>
    <w:rsid w:val="007C3E3A"/>
    <w:rsid w:val="00817502"/>
    <w:rsid w:val="00821116"/>
    <w:rsid w:val="00830014"/>
    <w:rsid w:val="00837DAB"/>
    <w:rsid w:val="00844E75"/>
    <w:rsid w:val="00864809"/>
    <w:rsid w:val="008774B8"/>
    <w:rsid w:val="008A22D6"/>
    <w:rsid w:val="008B4711"/>
    <w:rsid w:val="00904C33"/>
    <w:rsid w:val="00917FEE"/>
    <w:rsid w:val="00925653"/>
    <w:rsid w:val="00930E49"/>
    <w:rsid w:val="00960049"/>
    <w:rsid w:val="009768CE"/>
    <w:rsid w:val="00990784"/>
    <w:rsid w:val="00A42E47"/>
    <w:rsid w:val="00AA5C64"/>
    <w:rsid w:val="00AD2114"/>
    <w:rsid w:val="00B60DEC"/>
    <w:rsid w:val="00B82A94"/>
    <w:rsid w:val="00B93C7E"/>
    <w:rsid w:val="00BB4AAB"/>
    <w:rsid w:val="00BD70A4"/>
    <w:rsid w:val="00C55482"/>
    <w:rsid w:val="00CB085A"/>
    <w:rsid w:val="00D01233"/>
    <w:rsid w:val="00D2477F"/>
    <w:rsid w:val="00D25B21"/>
    <w:rsid w:val="00D401EF"/>
    <w:rsid w:val="00D42AD4"/>
    <w:rsid w:val="00D5284C"/>
    <w:rsid w:val="00D556B1"/>
    <w:rsid w:val="00DB0183"/>
    <w:rsid w:val="00DB539B"/>
    <w:rsid w:val="00DC71AF"/>
    <w:rsid w:val="00DF5129"/>
    <w:rsid w:val="00DF64FE"/>
    <w:rsid w:val="00DF6C0D"/>
    <w:rsid w:val="00E12F4B"/>
    <w:rsid w:val="00E43600"/>
    <w:rsid w:val="00E50395"/>
    <w:rsid w:val="00E839AB"/>
    <w:rsid w:val="00E84F7F"/>
    <w:rsid w:val="00EA3C88"/>
    <w:rsid w:val="00EA7C06"/>
    <w:rsid w:val="00EB2835"/>
    <w:rsid w:val="00EB2F64"/>
    <w:rsid w:val="00EB3B80"/>
    <w:rsid w:val="00EC0876"/>
    <w:rsid w:val="00EE3E66"/>
    <w:rsid w:val="00EE43AD"/>
    <w:rsid w:val="00F0645E"/>
    <w:rsid w:val="00F140B7"/>
    <w:rsid w:val="00F2356B"/>
    <w:rsid w:val="00F44E58"/>
    <w:rsid w:val="00F76163"/>
    <w:rsid w:val="00FB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AF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1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AF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table" w:styleId="TableGrid">
    <w:name w:val="Table Grid"/>
    <w:basedOn w:val="TableNormal"/>
    <w:rsid w:val="00DC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1AF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AF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F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unhideWhenUsed/>
    <w:rsid w:val="00757D7A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93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F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F75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F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049">
                  <w:marLeft w:val="218"/>
                  <w:marRight w:val="2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868">
                      <w:marLeft w:val="218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mproveltd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mprove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Links>
    <vt:vector size="12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http://www.improveltd.co.uk/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http://www.improveltd.co.uk/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sally.jenkins</dc:creator>
  <cp:lastModifiedBy>Cooper</cp:lastModifiedBy>
  <cp:revision>2</cp:revision>
  <cp:lastPrinted>2011-05-09T15:24:00Z</cp:lastPrinted>
  <dcterms:created xsi:type="dcterms:W3CDTF">2011-06-13T11:35:00Z</dcterms:created>
  <dcterms:modified xsi:type="dcterms:W3CDTF">2011-06-13T11:35:00Z</dcterms:modified>
</cp:coreProperties>
</file>